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66F3E963" w:rsidR="00D6147A" w:rsidRDefault="001206A4" w:rsidP="001206A4">
      <w:hyperlink r:id="rId6" w:history="1">
        <w:r w:rsidRPr="00962D3B">
          <w:rPr>
            <w:rStyle w:val="Collegamentoipertestuale"/>
          </w:rPr>
          <w:t>https://www.borsaitaliana.it/borsa/notizie/radiocor/economia/dettaglio/transizione-grospietro-evitare-di-scardinare-attivita--senza-raggiungere-traguardi-nRC_15022025_1148_230144884.html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235B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06A4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37D9D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0F7C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850"/>
    <w:rsid w:val="006179CF"/>
    <w:rsid w:val="00620203"/>
    <w:rsid w:val="0062111C"/>
    <w:rsid w:val="0062135D"/>
    <w:rsid w:val="00624E6C"/>
    <w:rsid w:val="0062703D"/>
    <w:rsid w:val="0063169B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5A11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295E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1D72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964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896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2EFB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6D4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6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065B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BE5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economia/dettaglio/transizione-grospietro-evitare-di-scardinare-attivita--senza-raggiungere-traguardi-nRC_15022025_1148_23014488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2025-02-19T14:21:00Z</dcterms:created>
  <dcterms:modified xsi:type="dcterms:W3CDTF">2025-02-19T14:21:00Z</dcterms:modified>
</cp:coreProperties>
</file>